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69D7A7" w14:textId="77777777" w:rsidR="00D306A3" w:rsidRDefault="00D306A3" w:rsidP="351BE222">
      <w:pPr>
        <w:rPr>
          <w:rFonts w:ascii="Calibri" w:eastAsia="Calibri" w:hAnsi="Calibri" w:cs="Calibri"/>
          <w:color w:val="000000" w:themeColor="text1"/>
        </w:rPr>
      </w:pPr>
      <w:bookmarkStart w:id="0" w:name="_GoBack"/>
      <w:bookmarkEnd w:id="0"/>
    </w:p>
    <w:p w14:paraId="49B4B05D" w14:textId="5BFCF5AD" w:rsidR="007E7158" w:rsidRDefault="30E5EBFC" w:rsidP="351BE222">
      <w:pPr>
        <w:rPr>
          <w:rFonts w:ascii="Calibri" w:eastAsia="Calibri" w:hAnsi="Calibri" w:cs="Calibri"/>
          <w:color w:val="000000" w:themeColor="text1"/>
        </w:rPr>
      </w:pPr>
      <w:r w:rsidRPr="351BE222">
        <w:rPr>
          <w:rFonts w:ascii="Calibri" w:eastAsia="Calibri" w:hAnsi="Calibri" w:cs="Calibri"/>
          <w:color w:val="000000" w:themeColor="text1"/>
        </w:rPr>
        <w:t xml:space="preserve">Area </w:t>
      </w:r>
      <w:r w:rsidR="007E7158">
        <w:rPr>
          <w:rFonts w:ascii="Calibri" w:eastAsia="Calibri" w:hAnsi="Calibri" w:cs="Calibri"/>
          <w:color w:val="000000" w:themeColor="text1"/>
        </w:rPr>
        <w:t xml:space="preserve">4 – </w:t>
      </w:r>
      <w:r w:rsidR="007E7158" w:rsidRPr="007E7158">
        <w:rPr>
          <w:rFonts w:ascii="Calibri" w:eastAsia="Calibri" w:hAnsi="Calibri" w:cs="Calibri"/>
          <w:color w:val="000000" w:themeColor="text1"/>
        </w:rPr>
        <w:t>Social and Behavioral Sciences</w:t>
      </w:r>
    </w:p>
    <w:p w14:paraId="49E65AED" w14:textId="50834BC8" w:rsidR="00963308" w:rsidRDefault="30E5EBFC" w:rsidP="351BE222">
      <w:pPr>
        <w:rPr>
          <w:rFonts w:ascii="Aptos" w:eastAsia="Aptos" w:hAnsi="Aptos" w:cs="Aptos"/>
        </w:rPr>
      </w:pPr>
      <w:r w:rsidRPr="351BE222">
        <w:rPr>
          <w:rFonts w:ascii="Calibri" w:eastAsia="Calibri" w:hAnsi="Calibri" w:cs="Calibri"/>
          <w:color w:val="000000" w:themeColor="text1"/>
        </w:rPr>
        <w:t>Description:</w:t>
      </w:r>
    </w:p>
    <w:p w14:paraId="6DD13F7C" w14:textId="54948D15" w:rsidR="30E5EBFC" w:rsidRDefault="30E5EBFC" w:rsidP="351BE222">
      <w:pPr>
        <w:rPr>
          <w:rFonts w:ascii="Calibri" w:eastAsia="Calibri" w:hAnsi="Calibri" w:cs="Calibri"/>
        </w:rPr>
      </w:pPr>
      <w:r w:rsidRPr="351BE222">
        <w:rPr>
          <w:rFonts w:ascii="Calibri" w:eastAsia="Calibri" w:hAnsi="Calibri" w:cs="Calibri"/>
        </w:rPr>
        <w:t>Courses in the social and behavioral sciences focus on people as members of society and develop awareness of the methods of inquiry used by the social and behavioral sciences. They stimulate critical thinking about how people act and have acted in response to their societies and promote appreciation of how societies and social subgroups operate. Courses fulfilling this requirement may include introductory or integrative baccalaureate-level courses in cultural anthropology, cultural geography, economics, history, political science, psychology, sociology, and related disciplines.</w:t>
      </w:r>
      <w:r w:rsidR="2F1DD960" w:rsidRPr="351BE222">
        <w:rPr>
          <w:rFonts w:ascii="Calibri" w:eastAsia="Calibri" w:hAnsi="Calibri" w:cs="Calibri"/>
        </w:rPr>
        <w:t xml:space="preserve"> Students who have completed this requirement will have been exposed to coursework designed to help them gain an understanding and appreciation of the contributions and perspectives of individuals and groups, including but not limited to diverse genders, sexualities, races, ethnicities, classes, countries, cultures, and societies.</w:t>
      </w:r>
    </w:p>
    <w:p w14:paraId="114FE8E9" w14:textId="107E8C52" w:rsidR="351BE222" w:rsidRDefault="351BE222"/>
    <w:p w14:paraId="51506EE1" w14:textId="3B76CC8B" w:rsidR="30E5EBFC" w:rsidRDefault="30E5EBFC" w:rsidP="351BE222">
      <w:pPr>
        <w:pStyle w:val="ListParagraph"/>
        <w:numPr>
          <w:ilvl w:val="0"/>
          <w:numId w:val="2"/>
        </w:numPr>
        <w:rPr>
          <w:rFonts w:ascii="Calibri" w:eastAsia="Calibri" w:hAnsi="Calibri" w:cs="Calibri"/>
          <w:color w:val="0E2740"/>
        </w:rPr>
      </w:pPr>
      <w:r w:rsidRPr="351BE222">
        <w:rPr>
          <w:rFonts w:ascii="Calibri" w:eastAsia="Calibri" w:hAnsi="Calibri" w:cs="Calibri"/>
          <w:color w:val="0E2740"/>
        </w:rPr>
        <w:t>Please explain how your course meets the objectives of Area 4 stated above.</w:t>
      </w:r>
    </w:p>
    <w:p w14:paraId="6F70837F" w14:textId="60471BB1" w:rsidR="30E5EBFC" w:rsidRDefault="30E5EBFC" w:rsidP="351BE222">
      <w:pPr>
        <w:pStyle w:val="ListParagraph"/>
        <w:numPr>
          <w:ilvl w:val="0"/>
          <w:numId w:val="2"/>
        </w:numPr>
        <w:rPr>
          <w:rFonts w:ascii="Calibri" w:eastAsia="Calibri" w:hAnsi="Calibri" w:cs="Calibri"/>
          <w:color w:val="0E2740"/>
        </w:rPr>
      </w:pPr>
      <w:r w:rsidRPr="351BE222">
        <w:rPr>
          <w:rFonts w:ascii="Calibri" w:eastAsia="Calibri" w:hAnsi="Calibri" w:cs="Calibri"/>
          <w:color w:val="0E2740"/>
        </w:rPr>
        <w:t xml:space="preserve">How does your course advance IDEAA (Inclusion, Diversity, Equity, Anti-racism, and Accessibility) principles as they pertain to Social and Behavioral Sciences? </w:t>
      </w:r>
    </w:p>
    <w:p w14:paraId="6C61BDD6" w14:textId="083B4C0E" w:rsidR="30E5EBFC" w:rsidRDefault="30E5EBFC" w:rsidP="351BE222">
      <w:pPr>
        <w:pStyle w:val="ListParagraph"/>
        <w:numPr>
          <w:ilvl w:val="1"/>
          <w:numId w:val="2"/>
        </w:numPr>
        <w:rPr>
          <w:rFonts w:ascii="Calibri" w:eastAsia="Calibri" w:hAnsi="Calibri" w:cs="Calibri"/>
          <w:color w:val="000000" w:themeColor="text1"/>
        </w:rPr>
      </w:pPr>
      <w:r w:rsidRPr="351BE222">
        <w:rPr>
          <w:rFonts w:ascii="Calibri" w:eastAsia="Calibri" w:hAnsi="Calibri" w:cs="Calibri"/>
          <w:color w:val="0E2740"/>
        </w:rPr>
        <w:t xml:space="preserve"> </w:t>
      </w:r>
      <w:hyperlink r:id="rId7">
        <w:r w:rsidRPr="351BE222">
          <w:rPr>
            <w:rStyle w:val="Hyperlink"/>
            <w:rFonts w:ascii="Calibri" w:eastAsia="Calibri" w:hAnsi="Calibri" w:cs="Calibri"/>
          </w:rPr>
          <w:t>ASCCC IDEAA tools</w:t>
        </w:r>
      </w:hyperlink>
      <w:r w:rsidRPr="351BE222">
        <w:rPr>
          <w:rFonts w:ascii="Calibri" w:eastAsia="Calibri" w:hAnsi="Calibri" w:cs="Calibri"/>
          <w:color w:val="000000" w:themeColor="text1"/>
        </w:rPr>
        <w:t xml:space="preserve"> - help text</w:t>
      </w:r>
    </w:p>
    <w:p w14:paraId="6C20FA2A" w14:textId="1571F38D" w:rsidR="30E5EBFC" w:rsidRDefault="30E5EBFC" w:rsidP="351BE222">
      <w:pPr>
        <w:pStyle w:val="ListParagraph"/>
        <w:numPr>
          <w:ilvl w:val="1"/>
          <w:numId w:val="2"/>
        </w:numPr>
        <w:rPr>
          <w:rFonts w:ascii="Calibri" w:eastAsia="Calibri" w:hAnsi="Calibri" w:cs="Calibri"/>
          <w:color w:val="0E2740"/>
        </w:rPr>
      </w:pPr>
      <w:r w:rsidRPr="351BE222">
        <w:rPr>
          <w:rFonts w:ascii="Calibri" w:eastAsia="Calibri" w:hAnsi="Calibri" w:cs="Calibri"/>
          <w:color w:val="0E2740"/>
        </w:rPr>
        <w:t>Guide for Creating Equitable Curriculum | Glendale Community College</w:t>
      </w:r>
    </w:p>
    <w:p w14:paraId="43080883" w14:textId="0D3424DF" w:rsidR="30E5EBFC" w:rsidRDefault="30E5EBFC" w:rsidP="351BE222">
      <w:pPr>
        <w:pStyle w:val="ListParagraph"/>
        <w:numPr>
          <w:ilvl w:val="0"/>
          <w:numId w:val="2"/>
        </w:numPr>
        <w:rPr>
          <w:rFonts w:ascii="Calibri" w:eastAsia="Calibri" w:hAnsi="Calibri" w:cs="Calibri"/>
          <w:color w:val="0E2740"/>
        </w:rPr>
      </w:pPr>
      <w:r w:rsidRPr="351BE222">
        <w:rPr>
          <w:rFonts w:ascii="Calibri" w:eastAsia="Calibri" w:hAnsi="Calibri" w:cs="Calibri"/>
          <w:color w:val="0E2740"/>
        </w:rPr>
        <w:t xml:space="preserve">Please provide a minimum of </w:t>
      </w:r>
      <w:r w:rsidR="00253A81">
        <w:rPr>
          <w:rFonts w:ascii="Calibri" w:eastAsia="Calibri" w:hAnsi="Calibri" w:cs="Calibri"/>
          <w:color w:val="0E2740"/>
        </w:rPr>
        <w:t>2-</w:t>
      </w:r>
      <w:r w:rsidRPr="351BE222">
        <w:rPr>
          <w:rFonts w:ascii="Calibri" w:eastAsia="Calibri" w:hAnsi="Calibri" w:cs="Calibri"/>
          <w:color w:val="0E2740"/>
        </w:rPr>
        <w:t>3 examples from two different sections of your COR (Course Outline of Record) that directly fulfill the objectives of Area 4.</w:t>
      </w:r>
    </w:p>
    <w:p w14:paraId="5948961A" w14:textId="1BD38917" w:rsidR="351BE222" w:rsidRDefault="351BE222" w:rsidP="351BE222">
      <w:pPr>
        <w:rPr>
          <w:rFonts w:ascii="Calibri" w:eastAsia="Calibri" w:hAnsi="Calibri" w:cs="Calibri"/>
          <w:color w:val="0E2740"/>
        </w:rPr>
      </w:pPr>
    </w:p>
    <w:p w14:paraId="14B517B1" w14:textId="663E36BD" w:rsidR="30E5EBFC" w:rsidRDefault="30E5EBFC" w:rsidP="351BE222">
      <w:pPr>
        <w:pStyle w:val="ListParagraph"/>
        <w:numPr>
          <w:ilvl w:val="0"/>
          <w:numId w:val="1"/>
        </w:numPr>
        <w:rPr>
          <w:rFonts w:ascii="Calibri" w:eastAsia="Calibri" w:hAnsi="Calibri" w:cs="Calibri"/>
          <w:color w:val="0E2740"/>
        </w:rPr>
      </w:pPr>
      <w:r w:rsidRPr="351BE222">
        <w:rPr>
          <w:rFonts w:ascii="Calibri" w:eastAsia="Calibri" w:hAnsi="Calibri" w:cs="Calibri"/>
          <w:color w:val="0E2740"/>
        </w:rPr>
        <w:t>Check box on form: Are you requesting transfer GE for the same category on Cal-GETC? If so, which one?</w:t>
      </w:r>
    </w:p>
    <w:p w14:paraId="336A88B3" w14:textId="017BEEAC" w:rsidR="351BE222" w:rsidRDefault="351BE222"/>
    <w:sectPr w:rsidR="351BE222" w:rsidSect="00C5719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DC186B" w14:textId="77777777" w:rsidR="007E7158" w:rsidRDefault="007E7158" w:rsidP="007E7158">
      <w:pPr>
        <w:spacing w:after="0" w:line="240" w:lineRule="auto"/>
      </w:pPr>
      <w:r>
        <w:separator/>
      </w:r>
    </w:p>
  </w:endnote>
  <w:endnote w:type="continuationSeparator" w:id="0">
    <w:p w14:paraId="697DDDA6" w14:textId="77777777" w:rsidR="007E7158" w:rsidRDefault="007E7158" w:rsidP="007E71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201D2C" w14:textId="77777777" w:rsidR="007E7158" w:rsidRDefault="007E71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499612"/>
      <w:docPartObj>
        <w:docPartGallery w:val="Page Numbers (Bottom of Page)"/>
        <w:docPartUnique/>
      </w:docPartObj>
    </w:sdtPr>
    <w:sdtEndPr>
      <w:rPr>
        <w:noProof/>
      </w:rPr>
    </w:sdtEndPr>
    <w:sdtContent>
      <w:p w14:paraId="4C3B4E4A" w14:textId="1E42614C" w:rsidR="007E7158" w:rsidRDefault="007E7158">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4C2B8E27" w14:textId="77777777" w:rsidR="007E7158" w:rsidRDefault="007E71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0573113"/>
      <w:docPartObj>
        <w:docPartGallery w:val="Page Numbers (Bottom of Page)"/>
        <w:docPartUnique/>
      </w:docPartObj>
    </w:sdtPr>
    <w:sdtEndPr>
      <w:rPr>
        <w:noProof/>
      </w:rPr>
    </w:sdtEndPr>
    <w:sdtContent>
      <w:p w14:paraId="449CD2F0" w14:textId="7806A541" w:rsidR="00D306A3" w:rsidRDefault="00D306A3">
        <w:pPr>
          <w:pStyle w:val="Footer"/>
          <w:jc w:val="right"/>
        </w:pPr>
        <w:r>
          <w:fldChar w:fldCharType="begin"/>
        </w:r>
        <w:r>
          <w:instrText xml:space="preserve"> PAGE   \* MERGEFORMAT </w:instrText>
        </w:r>
        <w:r>
          <w:fldChar w:fldCharType="separate"/>
        </w:r>
        <w:r w:rsidR="00C5719C">
          <w:rPr>
            <w:noProof/>
          </w:rPr>
          <w:t>1</w:t>
        </w:r>
        <w:r>
          <w:rPr>
            <w:noProof/>
          </w:rPr>
          <w:fldChar w:fldCharType="end"/>
        </w:r>
      </w:p>
    </w:sdtContent>
  </w:sdt>
  <w:p w14:paraId="3C128BEB" w14:textId="77777777" w:rsidR="007E7158" w:rsidRDefault="007E71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51849F" w14:textId="77777777" w:rsidR="007E7158" w:rsidRDefault="007E7158" w:rsidP="007E7158">
      <w:pPr>
        <w:spacing w:after="0" w:line="240" w:lineRule="auto"/>
      </w:pPr>
      <w:r>
        <w:separator/>
      </w:r>
    </w:p>
  </w:footnote>
  <w:footnote w:type="continuationSeparator" w:id="0">
    <w:p w14:paraId="72AB6F2E" w14:textId="77777777" w:rsidR="007E7158" w:rsidRDefault="007E7158" w:rsidP="007E71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D37543" w14:textId="77777777" w:rsidR="007E7158" w:rsidRDefault="007E71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6275DF" w14:textId="77777777" w:rsidR="007E7158" w:rsidRDefault="007E71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FBF588" w14:textId="2A854EA6" w:rsidR="007E7158" w:rsidRPr="007E7158" w:rsidRDefault="007E7158" w:rsidP="007E7158">
    <w:pPr>
      <w:pStyle w:val="Header"/>
    </w:pPr>
    <w:r>
      <w:rPr>
        <w:noProof/>
        <w:lang w:eastAsia="en-US"/>
      </w:rPr>
      <w:drawing>
        <wp:inline distT="0" distB="0" distL="0" distR="0" wp14:anchorId="57270B59" wp14:editId="0FEB3565">
          <wp:extent cx="545910" cy="366401"/>
          <wp:effectExtent l="0" t="0" r="6985" b="0"/>
          <wp:docPr id="1" name="Picture 1" descr="C:\Users\julie.kahler\AppData\Local\Temp\921298c7-9c41-46e1-bddc-8a05645ed387_gcccd-logo-all-2023.zip.387\GCCCD Logo 2023\gcccd-logo-color-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lie.kahler\AppData\Local\Temp\921298c7-9c41-46e1-bddc-8a05645ed387_gcccd-logo-all-2023.zip.387\GCCCD Logo 2023\gcccd-logo-color-ico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V="1">
                    <a:off x="0" y="0"/>
                    <a:ext cx="564392" cy="37880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87437F"/>
    <w:multiLevelType w:val="hybridMultilevel"/>
    <w:tmpl w:val="F79A616E"/>
    <w:lvl w:ilvl="0" w:tplc="33C44FEE">
      <w:start w:val="1"/>
      <w:numFmt w:val="decimal"/>
      <w:lvlText w:val="%1."/>
      <w:lvlJc w:val="left"/>
      <w:pPr>
        <w:ind w:left="720" w:hanging="360"/>
      </w:pPr>
    </w:lvl>
    <w:lvl w:ilvl="1" w:tplc="E402A776">
      <w:start w:val="1"/>
      <w:numFmt w:val="lowerLetter"/>
      <w:lvlText w:val="%2."/>
      <w:lvlJc w:val="left"/>
      <w:pPr>
        <w:ind w:left="1440" w:hanging="360"/>
      </w:pPr>
    </w:lvl>
    <w:lvl w:ilvl="2" w:tplc="DAC67852">
      <w:start w:val="1"/>
      <w:numFmt w:val="lowerRoman"/>
      <w:lvlText w:val="%3."/>
      <w:lvlJc w:val="right"/>
      <w:pPr>
        <w:ind w:left="2160" w:hanging="180"/>
      </w:pPr>
    </w:lvl>
    <w:lvl w:ilvl="3" w:tplc="874008CC">
      <w:start w:val="1"/>
      <w:numFmt w:val="decimal"/>
      <w:lvlText w:val="%4."/>
      <w:lvlJc w:val="left"/>
      <w:pPr>
        <w:ind w:left="2880" w:hanging="360"/>
      </w:pPr>
    </w:lvl>
    <w:lvl w:ilvl="4" w:tplc="BE76393E">
      <w:start w:val="1"/>
      <w:numFmt w:val="lowerLetter"/>
      <w:lvlText w:val="%5."/>
      <w:lvlJc w:val="left"/>
      <w:pPr>
        <w:ind w:left="3600" w:hanging="360"/>
      </w:pPr>
    </w:lvl>
    <w:lvl w:ilvl="5" w:tplc="53485342">
      <w:start w:val="1"/>
      <w:numFmt w:val="lowerRoman"/>
      <w:lvlText w:val="%6."/>
      <w:lvlJc w:val="right"/>
      <w:pPr>
        <w:ind w:left="4320" w:hanging="180"/>
      </w:pPr>
    </w:lvl>
    <w:lvl w:ilvl="6" w:tplc="A092734A">
      <w:start w:val="1"/>
      <w:numFmt w:val="decimal"/>
      <w:lvlText w:val="%7."/>
      <w:lvlJc w:val="left"/>
      <w:pPr>
        <w:ind w:left="5040" w:hanging="360"/>
      </w:pPr>
    </w:lvl>
    <w:lvl w:ilvl="7" w:tplc="474EF620">
      <w:start w:val="1"/>
      <w:numFmt w:val="lowerLetter"/>
      <w:lvlText w:val="%8."/>
      <w:lvlJc w:val="left"/>
      <w:pPr>
        <w:ind w:left="5760" w:hanging="360"/>
      </w:pPr>
    </w:lvl>
    <w:lvl w:ilvl="8" w:tplc="ACC6D53A">
      <w:start w:val="1"/>
      <w:numFmt w:val="lowerRoman"/>
      <w:lvlText w:val="%9."/>
      <w:lvlJc w:val="right"/>
      <w:pPr>
        <w:ind w:left="6480" w:hanging="180"/>
      </w:pPr>
    </w:lvl>
  </w:abstractNum>
  <w:abstractNum w:abstractNumId="1" w15:restartNumberingAfterBreak="0">
    <w:nsid w:val="50B1FA69"/>
    <w:multiLevelType w:val="hybridMultilevel"/>
    <w:tmpl w:val="F9BA078A"/>
    <w:lvl w:ilvl="0" w:tplc="A2A8B016">
      <w:start w:val="1"/>
      <w:numFmt w:val="bullet"/>
      <w:lvlText w:val=""/>
      <w:lvlJc w:val="left"/>
      <w:pPr>
        <w:ind w:left="720" w:hanging="360"/>
      </w:pPr>
      <w:rPr>
        <w:rFonts w:ascii="Symbol" w:hAnsi="Symbol" w:hint="default"/>
      </w:rPr>
    </w:lvl>
    <w:lvl w:ilvl="1" w:tplc="C0C6225C">
      <w:start w:val="1"/>
      <w:numFmt w:val="bullet"/>
      <w:lvlText w:val="o"/>
      <w:lvlJc w:val="left"/>
      <w:pPr>
        <w:ind w:left="1440" w:hanging="360"/>
      </w:pPr>
      <w:rPr>
        <w:rFonts w:ascii="Courier New" w:hAnsi="Courier New" w:hint="default"/>
      </w:rPr>
    </w:lvl>
    <w:lvl w:ilvl="2" w:tplc="7E203824">
      <w:start w:val="1"/>
      <w:numFmt w:val="bullet"/>
      <w:lvlText w:val=""/>
      <w:lvlJc w:val="left"/>
      <w:pPr>
        <w:ind w:left="2160" w:hanging="360"/>
      </w:pPr>
      <w:rPr>
        <w:rFonts w:ascii="Wingdings" w:hAnsi="Wingdings" w:hint="default"/>
      </w:rPr>
    </w:lvl>
    <w:lvl w:ilvl="3" w:tplc="303E1854">
      <w:start w:val="1"/>
      <w:numFmt w:val="bullet"/>
      <w:lvlText w:val=""/>
      <w:lvlJc w:val="left"/>
      <w:pPr>
        <w:ind w:left="2880" w:hanging="360"/>
      </w:pPr>
      <w:rPr>
        <w:rFonts w:ascii="Symbol" w:hAnsi="Symbol" w:hint="default"/>
      </w:rPr>
    </w:lvl>
    <w:lvl w:ilvl="4" w:tplc="D840BFF4">
      <w:start w:val="1"/>
      <w:numFmt w:val="bullet"/>
      <w:lvlText w:val="o"/>
      <w:lvlJc w:val="left"/>
      <w:pPr>
        <w:ind w:left="3600" w:hanging="360"/>
      </w:pPr>
      <w:rPr>
        <w:rFonts w:ascii="Courier New" w:hAnsi="Courier New" w:hint="default"/>
      </w:rPr>
    </w:lvl>
    <w:lvl w:ilvl="5" w:tplc="A290EF48">
      <w:start w:val="1"/>
      <w:numFmt w:val="bullet"/>
      <w:lvlText w:val=""/>
      <w:lvlJc w:val="left"/>
      <w:pPr>
        <w:ind w:left="4320" w:hanging="360"/>
      </w:pPr>
      <w:rPr>
        <w:rFonts w:ascii="Wingdings" w:hAnsi="Wingdings" w:hint="default"/>
      </w:rPr>
    </w:lvl>
    <w:lvl w:ilvl="6" w:tplc="3F82C18E">
      <w:start w:val="1"/>
      <w:numFmt w:val="bullet"/>
      <w:lvlText w:val=""/>
      <w:lvlJc w:val="left"/>
      <w:pPr>
        <w:ind w:left="5040" w:hanging="360"/>
      </w:pPr>
      <w:rPr>
        <w:rFonts w:ascii="Symbol" w:hAnsi="Symbol" w:hint="default"/>
      </w:rPr>
    </w:lvl>
    <w:lvl w:ilvl="7" w:tplc="E3EA2BB6">
      <w:start w:val="1"/>
      <w:numFmt w:val="bullet"/>
      <w:lvlText w:val="o"/>
      <w:lvlJc w:val="left"/>
      <w:pPr>
        <w:ind w:left="5760" w:hanging="360"/>
      </w:pPr>
      <w:rPr>
        <w:rFonts w:ascii="Courier New" w:hAnsi="Courier New" w:hint="default"/>
      </w:rPr>
    </w:lvl>
    <w:lvl w:ilvl="8" w:tplc="2FCAE7A0">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700C188"/>
    <w:rsid w:val="00253A81"/>
    <w:rsid w:val="007E7158"/>
    <w:rsid w:val="00963308"/>
    <w:rsid w:val="00A22CA7"/>
    <w:rsid w:val="00C5719C"/>
    <w:rsid w:val="00D306A3"/>
    <w:rsid w:val="06FAC705"/>
    <w:rsid w:val="279CF2EA"/>
    <w:rsid w:val="2F1DD960"/>
    <w:rsid w:val="30E5EBFC"/>
    <w:rsid w:val="351BE222"/>
    <w:rsid w:val="3700C188"/>
    <w:rsid w:val="4443C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0C188"/>
  <w15:chartTrackingRefBased/>
  <w15:docId w15:val="{EC320601-2739-40EF-868E-416210B7B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351BE222"/>
    <w:pPr>
      <w:ind w:left="720"/>
      <w:contextualSpacing/>
    </w:pPr>
  </w:style>
  <w:style w:type="character" w:styleId="Hyperlink">
    <w:name w:val="Hyperlink"/>
    <w:basedOn w:val="DefaultParagraphFont"/>
    <w:uiPriority w:val="99"/>
    <w:unhideWhenUsed/>
    <w:rsid w:val="351BE222"/>
    <w:rPr>
      <w:color w:val="467886"/>
      <w:u w:val="single"/>
    </w:rPr>
  </w:style>
  <w:style w:type="paragraph" w:styleId="Revision">
    <w:name w:val="Revision"/>
    <w:hidden/>
    <w:uiPriority w:val="99"/>
    <w:semiHidden/>
    <w:rsid w:val="00253A81"/>
    <w:pPr>
      <w:spacing w:after="0" w:line="240" w:lineRule="auto"/>
    </w:pPr>
  </w:style>
  <w:style w:type="paragraph" w:styleId="Header">
    <w:name w:val="header"/>
    <w:basedOn w:val="Normal"/>
    <w:link w:val="HeaderChar"/>
    <w:uiPriority w:val="99"/>
    <w:unhideWhenUsed/>
    <w:rsid w:val="007E71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7158"/>
  </w:style>
  <w:style w:type="paragraph" w:styleId="Footer">
    <w:name w:val="footer"/>
    <w:basedOn w:val="Normal"/>
    <w:link w:val="FooterChar"/>
    <w:uiPriority w:val="99"/>
    <w:unhideWhenUsed/>
    <w:rsid w:val="007E71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71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asccc.org/asccc-inclusion-diversity-equity-anti-racism-and-accessibility-ideaa-tool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251</Words>
  <Characters>1431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MariaDenise Aceves</dc:creator>
  <cp:keywords/>
  <dc:description/>
  <cp:lastModifiedBy>Julie Kahler</cp:lastModifiedBy>
  <cp:revision>4</cp:revision>
  <dcterms:created xsi:type="dcterms:W3CDTF">2025-02-07T20:51:00Z</dcterms:created>
  <dcterms:modified xsi:type="dcterms:W3CDTF">2025-06-11T00:23:00Z</dcterms:modified>
</cp:coreProperties>
</file>