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42A3D" w14:textId="77777777" w:rsidR="00EB79E3" w:rsidRDefault="00EB79E3" w:rsidP="01289015">
      <w:pPr>
        <w:rPr>
          <w:rFonts w:ascii="Calibri" w:eastAsia="Calibri" w:hAnsi="Calibri" w:cs="Calibri"/>
          <w:color w:val="000000" w:themeColor="text1"/>
        </w:rPr>
      </w:pPr>
      <w:bookmarkStart w:id="0" w:name="_GoBack"/>
      <w:bookmarkEnd w:id="0"/>
    </w:p>
    <w:p w14:paraId="3EDEA54E" w14:textId="09A437FA" w:rsidR="002F2DDB" w:rsidRDefault="78938ADA" w:rsidP="01289015">
      <w:pPr>
        <w:rPr>
          <w:rFonts w:ascii="Calibri" w:eastAsia="Calibri" w:hAnsi="Calibri" w:cs="Calibri"/>
          <w:color w:val="000000" w:themeColor="text1"/>
        </w:rPr>
      </w:pPr>
      <w:r w:rsidRPr="01289015">
        <w:rPr>
          <w:rFonts w:ascii="Calibri" w:eastAsia="Calibri" w:hAnsi="Calibri" w:cs="Calibri"/>
          <w:color w:val="000000" w:themeColor="text1"/>
        </w:rPr>
        <w:t xml:space="preserve">Area </w:t>
      </w:r>
      <w:r w:rsidR="002F2DDB">
        <w:rPr>
          <w:rFonts w:ascii="Calibri" w:eastAsia="Calibri" w:hAnsi="Calibri" w:cs="Calibri"/>
          <w:color w:val="000000" w:themeColor="text1"/>
        </w:rPr>
        <w:t>5 – Natural Sciences and Laboratory</w:t>
      </w:r>
    </w:p>
    <w:p w14:paraId="024BC12E" w14:textId="0259820C" w:rsidR="00283713" w:rsidRDefault="78938ADA" w:rsidP="01289015">
      <w:pPr>
        <w:rPr>
          <w:rFonts w:ascii="Aptos" w:eastAsia="Aptos" w:hAnsi="Aptos" w:cs="Aptos"/>
        </w:rPr>
      </w:pPr>
      <w:r w:rsidRPr="01289015">
        <w:rPr>
          <w:rFonts w:ascii="Calibri" w:eastAsia="Calibri" w:hAnsi="Calibri" w:cs="Calibri"/>
          <w:color w:val="000000" w:themeColor="text1"/>
        </w:rPr>
        <w:t xml:space="preserve">Description: </w:t>
      </w:r>
    </w:p>
    <w:p w14:paraId="3201ADB0" w14:textId="58D75E0B" w:rsidR="00283713" w:rsidRDefault="78938ADA" w:rsidP="01289015">
      <w:pPr>
        <w:rPr>
          <w:rFonts w:ascii="Calibri" w:eastAsia="Calibri" w:hAnsi="Calibri" w:cs="Calibri"/>
        </w:rPr>
      </w:pPr>
      <w:r w:rsidRPr="01289015">
        <w:rPr>
          <w:rFonts w:ascii="Calibri" w:eastAsia="Calibri" w:hAnsi="Calibri" w:cs="Calibri"/>
        </w:rPr>
        <w:t>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 Students must develop a comprehension of the basic scientific concepts of the physical and biological aspects of the world as well as an understanding of science as a human endeavor including its limitations and power</w:t>
      </w:r>
      <w:r w:rsidR="30A83588" w:rsidRPr="01289015">
        <w:rPr>
          <w:rFonts w:ascii="Calibri" w:eastAsia="Calibri" w:hAnsi="Calibri" w:cs="Calibri"/>
        </w:rPr>
        <w:t>.</w:t>
      </w:r>
    </w:p>
    <w:p w14:paraId="2732E891" w14:textId="38AB1D8E" w:rsidR="00283713" w:rsidRDefault="00283713" w:rsidP="01289015">
      <w:pPr>
        <w:rPr>
          <w:rFonts w:ascii="Calibri" w:eastAsia="Calibri" w:hAnsi="Calibri" w:cs="Calibri"/>
          <w:color w:val="000000" w:themeColor="text1"/>
        </w:rPr>
      </w:pPr>
    </w:p>
    <w:p w14:paraId="3DB10E5F" w14:textId="27BE9AD3" w:rsidR="00283713" w:rsidRDefault="78938ADA" w:rsidP="01289015">
      <w:pPr>
        <w:pStyle w:val="ListParagraph"/>
        <w:numPr>
          <w:ilvl w:val="0"/>
          <w:numId w:val="2"/>
        </w:numPr>
        <w:rPr>
          <w:rFonts w:ascii="Calibri" w:eastAsia="Calibri" w:hAnsi="Calibri" w:cs="Calibri"/>
          <w:color w:val="0E2740"/>
        </w:rPr>
      </w:pPr>
      <w:r w:rsidRPr="01289015">
        <w:rPr>
          <w:rFonts w:ascii="Calibri" w:eastAsia="Calibri" w:hAnsi="Calibri" w:cs="Calibri"/>
          <w:color w:val="0E2740"/>
        </w:rPr>
        <w:t>Please explain how your course meets the objectives of Area 5 stated above.</w:t>
      </w:r>
    </w:p>
    <w:p w14:paraId="503E9274" w14:textId="5A9CCB75" w:rsidR="00283713" w:rsidRDefault="78938ADA" w:rsidP="01289015">
      <w:pPr>
        <w:pStyle w:val="ListParagraph"/>
        <w:numPr>
          <w:ilvl w:val="0"/>
          <w:numId w:val="2"/>
        </w:numPr>
        <w:rPr>
          <w:rFonts w:ascii="Calibri" w:eastAsia="Calibri" w:hAnsi="Calibri" w:cs="Calibri"/>
          <w:color w:val="0E2740"/>
        </w:rPr>
      </w:pPr>
      <w:r w:rsidRPr="01289015">
        <w:rPr>
          <w:rFonts w:ascii="Calibri" w:eastAsia="Calibri" w:hAnsi="Calibri" w:cs="Calibri"/>
          <w:color w:val="0E2740"/>
        </w:rPr>
        <w:t xml:space="preserve">How does your course advance IDEAA (Inclusion, Diversity, Equity, Anti-racism, and Accessibility) principles as they pertain to Natural Sciences and Laboratory? </w:t>
      </w:r>
    </w:p>
    <w:p w14:paraId="3F1500CD" w14:textId="13C4BC97" w:rsidR="00283713" w:rsidRDefault="78938ADA" w:rsidP="01289015">
      <w:pPr>
        <w:pStyle w:val="ListParagraph"/>
        <w:numPr>
          <w:ilvl w:val="1"/>
          <w:numId w:val="2"/>
        </w:numPr>
        <w:rPr>
          <w:rFonts w:ascii="Calibri" w:eastAsia="Calibri" w:hAnsi="Calibri" w:cs="Calibri"/>
          <w:color w:val="000000" w:themeColor="text1"/>
        </w:rPr>
      </w:pPr>
      <w:r w:rsidRPr="01289015">
        <w:rPr>
          <w:rFonts w:ascii="Calibri" w:eastAsia="Calibri" w:hAnsi="Calibri" w:cs="Calibri"/>
          <w:color w:val="0E2740"/>
        </w:rPr>
        <w:t xml:space="preserve"> </w:t>
      </w:r>
      <w:hyperlink r:id="rId7">
        <w:r w:rsidRPr="01289015">
          <w:rPr>
            <w:rStyle w:val="Hyperlink"/>
            <w:rFonts w:ascii="Calibri" w:eastAsia="Calibri" w:hAnsi="Calibri" w:cs="Calibri"/>
          </w:rPr>
          <w:t>ASCCC IDEAA tools</w:t>
        </w:r>
      </w:hyperlink>
      <w:r w:rsidRPr="01289015">
        <w:rPr>
          <w:rFonts w:ascii="Calibri" w:eastAsia="Calibri" w:hAnsi="Calibri" w:cs="Calibri"/>
          <w:color w:val="000000" w:themeColor="text1"/>
        </w:rPr>
        <w:t xml:space="preserve"> - help text</w:t>
      </w:r>
    </w:p>
    <w:p w14:paraId="0A71E5C0" w14:textId="3124F05D" w:rsidR="00283713" w:rsidRDefault="78938ADA" w:rsidP="01289015">
      <w:pPr>
        <w:pStyle w:val="ListParagraph"/>
        <w:numPr>
          <w:ilvl w:val="1"/>
          <w:numId w:val="2"/>
        </w:numPr>
        <w:rPr>
          <w:rFonts w:ascii="Calibri" w:eastAsia="Calibri" w:hAnsi="Calibri" w:cs="Calibri"/>
          <w:color w:val="0E2740"/>
        </w:rPr>
      </w:pPr>
      <w:r w:rsidRPr="01289015">
        <w:rPr>
          <w:rFonts w:ascii="Calibri" w:eastAsia="Calibri" w:hAnsi="Calibri" w:cs="Calibri"/>
          <w:color w:val="0E2740"/>
        </w:rPr>
        <w:t>Guide for Creating Equitable Curriculum | Glendale Community College</w:t>
      </w:r>
    </w:p>
    <w:p w14:paraId="478B7544" w14:textId="3BEA7ECD" w:rsidR="00283713" w:rsidRDefault="78938ADA" w:rsidP="01289015">
      <w:pPr>
        <w:pStyle w:val="ListParagraph"/>
        <w:numPr>
          <w:ilvl w:val="0"/>
          <w:numId w:val="2"/>
        </w:numPr>
        <w:rPr>
          <w:rFonts w:ascii="Calibri" w:eastAsia="Calibri" w:hAnsi="Calibri" w:cs="Calibri"/>
          <w:color w:val="0E2740"/>
        </w:rPr>
      </w:pPr>
      <w:r w:rsidRPr="01289015">
        <w:rPr>
          <w:rFonts w:ascii="Calibri" w:eastAsia="Calibri" w:hAnsi="Calibri" w:cs="Calibri"/>
          <w:color w:val="0E2740"/>
        </w:rPr>
        <w:t xml:space="preserve">Please provide a minimum of </w:t>
      </w:r>
      <w:r w:rsidR="00360589">
        <w:rPr>
          <w:rFonts w:ascii="Calibri" w:eastAsia="Calibri" w:hAnsi="Calibri" w:cs="Calibri"/>
          <w:color w:val="0E2740"/>
        </w:rPr>
        <w:t>2-</w:t>
      </w:r>
      <w:r w:rsidRPr="01289015">
        <w:rPr>
          <w:rFonts w:ascii="Calibri" w:eastAsia="Calibri" w:hAnsi="Calibri" w:cs="Calibri"/>
          <w:color w:val="0E2740"/>
        </w:rPr>
        <w:t>3 examples from two different sections of your COR (Course Outline of Record) that directly fulfill the objectives of Area 5.</w:t>
      </w:r>
    </w:p>
    <w:p w14:paraId="114486AC" w14:textId="154F391A" w:rsidR="00283713" w:rsidRDefault="00283713" w:rsidP="01289015">
      <w:pPr>
        <w:rPr>
          <w:rFonts w:ascii="Calibri" w:eastAsia="Calibri" w:hAnsi="Calibri" w:cs="Calibri"/>
          <w:color w:val="0E2740"/>
        </w:rPr>
      </w:pPr>
    </w:p>
    <w:p w14:paraId="7C81138E" w14:textId="40EDD5E5" w:rsidR="00283713" w:rsidRDefault="78938ADA" w:rsidP="01289015">
      <w:pPr>
        <w:pStyle w:val="ListParagraph"/>
        <w:numPr>
          <w:ilvl w:val="0"/>
          <w:numId w:val="1"/>
        </w:numPr>
        <w:rPr>
          <w:rFonts w:ascii="Calibri" w:eastAsia="Calibri" w:hAnsi="Calibri" w:cs="Calibri"/>
          <w:color w:val="0E2740"/>
        </w:rPr>
      </w:pPr>
      <w:r w:rsidRPr="01289015">
        <w:rPr>
          <w:rFonts w:ascii="Calibri" w:eastAsia="Calibri" w:hAnsi="Calibri" w:cs="Calibri"/>
          <w:color w:val="0E2740"/>
        </w:rPr>
        <w:t>Check box on form: Are you requesting transfer GE for the same category on Cal-GETC? If so, which one?</w:t>
      </w:r>
    </w:p>
    <w:p w14:paraId="3788475B" w14:textId="28610D41" w:rsidR="00283713" w:rsidRDefault="00283713" w:rsidP="01289015">
      <w:pPr>
        <w:rPr>
          <w:rFonts w:ascii="Calibri" w:eastAsia="Calibri" w:hAnsi="Calibri" w:cs="Calibri"/>
          <w:color w:val="000000" w:themeColor="text1"/>
        </w:rPr>
      </w:pPr>
    </w:p>
    <w:p w14:paraId="2C078E63" w14:textId="21003889" w:rsidR="00283713" w:rsidRDefault="00283713"/>
    <w:sectPr w:rsidR="00283713" w:rsidSect="003C16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FBD61" w14:textId="77777777" w:rsidR="002F2DDB" w:rsidRDefault="002F2DDB" w:rsidP="002F2DDB">
      <w:pPr>
        <w:spacing w:after="0" w:line="240" w:lineRule="auto"/>
      </w:pPr>
      <w:r>
        <w:separator/>
      </w:r>
    </w:p>
  </w:endnote>
  <w:endnote w:type="continuationSeparator" w:id="0">
    <w:p w14:paraId="56338B20" w14:textId="77777777" w:rsidR="002F2DDB" w:rsidRDefault="002F2DDB" w:rsidP="002F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BB7F" w14:textId="77777777" w:rsidR="002F2DDB" w:rsidRDefault="002F2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05714"/>
      <w:docPartObj>
        <w:docPartGallery w:val="Page Numbers (Bottom of Page)"/>
        <w:docPartUnique/>
      </w:docPartObj>
    </w:sdtPr>
    <w:sdtEndPr>
      <w:rPr>
        <w:noProof/>
      </w:rPr>
    </w:sdtEndPr>
    <w:sdtContent>
      <w:p w14:paraId="657C9C61" w14:textId="332A0F8E" w:rsidR="002F2DDB" w:rsidRDefault="002F2DD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917BEB4" w14:textId="77777777" w:rsidR="002F2DDB" w:rsidRDefault="002F2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22933"/>
      <w:docPartObj>
        <w:docPartGallery w:val="Page Numbers (Bottom of Page)"/>
        <w:docPartUnique/>
      </w:docPartObj>
    </w:sdtPr>
    <w:sdtEndPr>
      <w:rPr>
        <w:noProof/>
      </w:rPr>
    </w:sdtEndPr>
    <w:sdtContent>
      <w:p w14:paraId="00C14A1E" w14:textId="3FBF1679" w:rsidR="00EB79E3" w:rsidRDefault="00EB79E3">
        <w:pPr>
          <w:pStyle w:val="Footer"/>
          <w:jc w:val="right"/>
        </w:pPr>
        <w:r>
          <w:fldChar w:fldCharType="begin"/>
        </w:r>
        <w:r>
          <w:instrText xml:space="preserve"> PAGE   \* MERGEFORMAT </w:instrText>
        </w:r>
        <w:r>
          <w:fldChar w:fldCharType="separate"/>
        </w:r>
        <w:r w:rsidR="003C1651">
          <w:rPr>
            <w:noProof/>
          </w:rPr>
          <w:t>1</w:t>
        </w:r>
        <w:r>
          <w:rPr>
            <w:noProof/>
          </w:rPr>
          <w:fldChar w:fldCharType="end"/>
        </w:r>
      </w:p>
    </w:sdtContent>
  </w:sdt>
  <w:p w14:paraId="3EA99F5D" w14:textId="77777777" w:rsidR="002F2DDB" w:rsidRDefault="002F2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28FEC" w14:textId="77777777" w:rsidR="002F2DDB" w:rsidRDefault="002F2DDB" w:rsidP="002F2DDB">
      <w:pPr>
        <w:spacing w:after="0" w:line="240" w:lineRule="auto"/>
      </w:pPr>
      <w:r>
        <w:separator/>
      </w:r>
    </w:p>
  </w:footnote>
  <w:footnote w:type="continuationSeparator" w:id="0">
    <w:p w14:paraId="4EAC8C0C" w14:textId="77777777" w:rsidR="002F2DDB" w:rsidRDefault="002F2DDB" w:rsidP="002F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DCE9F" w14:textId="77777777" w:rsidR="002F2DDB" w:rsidRDefault="002F2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2AD30" w14:textId="77777777" w:rsidR="002F2DDB" w:rsidRDefault="002F2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BE6D" w14:textId="7BC8E82E" w:rsidR="002F2DDB" w:rsidRDefault="002F2DDB">
    <w:pPr>
      <w:pStyle w:val="Header"/>
    </w:pPr>
    <w:r>
      <w:rPr>
        <w:noProof/>
        <w:lang w:eastAsia="en-US"/>
      </w:rPr>
      <w:drawing>
        <wp:inline distT="0" distB="0" distL="0" distR="0" wp14:anchorId="65802CD6" wp14:editId="0144FEF7">
          <wp:extent cx="545910" cy="366401"/>
          <wp:effectExtent l="0" t="0" r="6985" b="0"/>
          <wp:docPr id="1" name="Picture 1" descr="C:\Users\julie.kahler\AppData\Local\Temp\921298c7-9c41-46e1-bddc-8a05645ed387_gcccd-logo-all-2023.zip.387\GCCCD Logo 2023\gcccd-logo-colo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kahler\AppData\Local\Temp\921298c7-9c41-46e1-bddc-8a05645ed387_gcccd-logo-all-2023.zip.387\GCCCD Logo 2023\gcccd-logo-color-ic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564392" cy="378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C590"/>
    <w:multiLevelType w:val="hybridMultilevel"/>
    <w:tmpl w:val="B04A89A2"/>
    <w:lvl w:ilvl="0" w:tplc="9272A6FC">
      <w:start w:val="1"/>
      <w:numFmt w:val="bullet"/>
      <w:lvlText w:val=""/>
      <w:lvlJc w:val="left"/>
      <w:pPr>
        <w:ind w:left="720" w:hanging="360"/>
      </w:pPr>
      <w:rPr>
        <w:rFonts w:ascii="Symbol" w:hAnsi="Symbol" w:hint="default"/>
      </w:rPr>
    </w:lvl>
    <w:lvl w:ilvl="1" w:tplc="B8D42A64">
      <w:start w:val="1"/>
      <w:numFmt w:val="bullet"/>
      <w:lvlText w:val="o"/>
      <w:lvlJc w:val="left"/>
      <w:pPr>
        <w:ind w:left="1440" w:hanging="360"/>
      </w:pPr>
      <w:rPr>
        <w:rFonts w:ascii="Courier New" w:hAnsi="Courier New" w:hint="default"/>
      </w:rPr>
    </w:lvl>
    <w:lvl w:ilvl="2" w:tplc="9D1E12AE">
      <w:start w:val="1"/>
      <w:numFmt w:val="bullet"/>
      <w:lvlText w:val=""/>
      <w:lvlJc w:val="left"/>
      <w:pPr>
        <w:ind w:left="2160" w:hanging="360"/>
      </w:pPr>
      <w:rPr>
        <w:rFonts w:ascii="Wingdings" w:hAnsi="Wingdings" w:hint="default"/>
      </w:rPr>
    </w:lvl>
    <w:lvl w:ilvl="3" w:tplc="14788F4E">
      <w:start w:val="1"/>
      <w:numFmt w:val="bullet"/>
      <w:lvlText w:val=""/>
      <w:lvlJc w:val="left"/>
      <w:pPr>
        <w:ind w:left="2880" w:hanging="360"/>
      </w:pPr>
      <w:rPr>
        <w:rFonts w:ascii="Symbol" w:hAnsi="Symbol" w:hint="default"/>
      </w:rPr>
    </w:lvl>
    <w:lvl w:ilvl="4" w:tplc="2EA6102C">
      <w:start w:val="1"/>
      <w:numFmt w:val="bullet"/>
      <w:lvlText w:val="o"/>
      <w:lvlJc w:val="left"/>
      <w:pPr>
        <w:ind w:left="3600" w:hanging="360"/>
      </w:pPr>
      <w:rPr>
        <w:rFonts w:ascii="Courier New" w:hAnsi="Courier New" w:hint="default"/>
      </w:rPr>
    </w:lvl>
    <w:lvl w:ilvl="5" w:tplc="B3C07CFC">
      <w:start w:val="1"/>
      <w:numFmt w:val="bullet"/>
      <w:lvlText w:val=""/>
      <w:lvlJc w:val="left"/>
      <w:pPr>
        <w:ind w:left="4320" w:hanging="360"/>
      </w:pPr>
      <w:rPr>
        <w:rFonts w:ascii="Wingdings" w:hAnsi="Wingdings" w:hint="default"/>
      </w:rPr>
    </w:lvl>
    <w:lvl w:ilvl="6" w:tplc="569C12AA">
      <w:start w:val="1"/>
      <w:numFmt w:val="bullet"/>
      <w:lvlText w:val=""/>
      <w:lvlJc w:val="left"/>
      <w:pPr>
        <w:ind w:left="5040" w:hanging="360"/>
      </w:pPr>
      <w:rPr>
        <w:rFonts w:ascii="Symbol" w:hAnsi="Symbol" w:hint="default"/>
      </w:rPr>
    </w:lvl>
    <w:lvl w:ilvl="7" w:tplc="7B88971A">
      <w:start w:val="1"/>
      <w:numFmt w:val="bullet"/>
      <w:lvlText w:val="o"/>
      <w:lvlJc w:val="left"/>
      <w:pPr>
        <w:ind w:left="5760" w:hanging="360"/>
      </w:pPr>
      <w:rPr>
        <w:rFonts w:ascii="Courier New" w:hAnsi="Courier New" w:hint="default"/>
      </w:rPr>
    </w:lvl>
    <w:lvl w:ilvl="8" w:tplc="400EBC90">
      <w:start w:val="1"/>
      <w:numFmt w:val="bullet"/>
      <w:lvlText w:val=""/>
      <w:lvlJc w:val="left"/>
      <w:pPr>
        <w:ind w:left="6480" w:hanging="360"/>
      </w:pPr>
      <w:rPr>
        <w:rFonts w:ascii="Wingdings" w:hAnsi="Wingdings" w:hint="default"/>
      </w:rPr>
    </w:lvl>
  </w:abstractNum>
  <w:abstractNum w:abstractNumId="1" w15:restartNumberingAfterBreak="0">
    <w:nsid w:val="3631DC77"/>
    <w:multiLevelType w:val="hybridMultilevel"/>
    <w:tmpl w:val="6336AB3C"/>
    <w:lvl w:ilvl="0" w:tplc="D2DE35CA">
      <w:start w:val="1"/>
      <w:numFmt w:val="decimal"/>
      <w:lvlText w:val="%1."/>
      <w:lvlJc w:val="left"/>
      <w:pPr>
        <w:ind w:left="720" w:hanging="360"/>
      </w:pPr>
    </w:lvl>
    <w:lvl w:ilvl="1" w:tplc="14123D3C">
      <w:start w:val="1"/>
      <w:numFmt w:val="lowerLetter"/>
      <w:lvlText w:val="%2."/>
      <w:lvlJc w:val="left"/>
      <w:pPr>
        <w:ind w:left="1440" w:hanging="360"/>
      </w:pPr>
    </w:lvl>
    <w:lvl w:ilvl="2" w:tplc="94FAC454">
      <w:start w:val="1"/>
      <w:numFmt w:val="lowerRoman"/>
      <w:lvlText w:val="%3."/>
      <w:lvlJc w:val="right"/>
      <w:pPr>
        <w:ind w:left="2160" w:hanging="180"/>
      </w:pPr>
    </w:lvl>
    <w:lvl w:ilvl="3" w:tplc="46FA589A">
      <w:start w:val="1"/>
      <w:numFmt w:val="decimal"/>
      <w:lvlText w:val="%4."/>
      <w:lvlJc w:val="left"/>
      <w:pPr>
        <w:ind w:left="2880" w:hanging="360"/>
      </w:pPr>
    </w:lvl>
    <w:lvl w:ilvl="4" w:tplc="918E9194">
      <w:start w:val="1"/>
      <w:numFmt w:val="lowerLetter"/>
      <w:lvlText w:val="%5."/>
      <w:lvlJc w:val="left"/>
      <w:pPr>
        <w:ind w:left="3600" w:hanging="360"/>
      </w:pPr>
    </w:lvl>
    <w:lvl w:ilvl="5" w:tplc="48044556">
      <w:start w:val="1"/>
      <w:numFmt w:val="lowerRoman"/>
      <w:lvlText w:val="%6."/>
      <w:lvlJc w:val="right"/>
      <w:pPr>
        <w:ind w:left="4320" w:hanging="180"/>
      </w:pPr>
    </w:lvl>
    <w:lvl w:ilvl="6" w:tplc="5F0E2BC4">
      <w:start w:val="1"/>
      <w:numFmt w:val="decimal"/>
      <w:lvlText w:val="%7."/>
      <w:lvlJc w:val="left"/>
      <w:pPr>
        <w:ind w:left="5040" w:hanging="360"/>
      </w:pPr>
    </w:lvl>
    <w:lvl w:ilvl="7" w:tplc="68A6120A">
      <w:start w:val="1"/>
      <w:numFmt w:val="lowerLetter"/>
      <w:lvlText w:val="%8."/>
      <w:lvlJc w:val="left"/>
      <w:pPr>
        <w:ind w:left="5760" w:hanging="360"/>
      </w:pPr>
    </w:lvl>
    <w:lvl w:ilvl="8" w:tplc="5F0256D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8ACAA7"/>
    <w:rsid w:val="00283713"/>
    <w:rsid w:val="002F2DDB"/>
    <w:rsid w:val="00360589"/>
    <w:rsid w:val="003C1651"/>
    <w:rsid w:val="00A22CA7"/>
    <w:rsid w:val="00EB79E3"/>
    <w:rsid w:val="01289015"/>
    <w:rsid w:val="30A83588"/>
    <w:rsid w:val="498ACAA7"/>
    <w:rsid w:val="6BEC7A9A"/>
    <w:rsid w:val="78938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CAA7"/>
  <w15:chartTrackingRefBased/>
  <w15:docId w15:val="{46007143-41EE-4CBE-A0B0-DA22FEE7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289015"/>
    <w:pPr>
      <w:ind w:left="720"/>
      <w:contextualSpacing/>
    </w:pPr>
  </w:style>
  <w:style w:type="character" w:styleId="Hyperlink">
    <w:name w:val="Hyperlink"/>
    <w:basedOn w:val="DefaultParagraphFont"/>
    <w:uiPriority w:val="99"/>
    <w:unhideWhenUsed/>
    <w:rsid w:val="01289015"/>
    <w:rPr>
      <w:color w:val="467886"/>
      <w:u w:val="single"/>
    </w:rPr>
  </w:style>
  <w:style w:type="paragraph" w:styleId="Revision">
    <w:name w:val="Revision"/>
    <w:hidden/>
    <w:uiPriority w:val="99"/>
    <w:semiHidden/>
    <w:rsid w:val="00360589"/>
    <w:pPr>
      <w:spacing w:after="0" w:line="240" w:lineRule="auto"/>
    </w:pPr>
  </w:style>
  <w:style w:type="paragraph" w:styleId="Header">
    <w:name w:val="header"/>
    <w:basedOn w:val="Normal"/>
    <w:link w:val="HeaderChar"/>
    <w:uiPriority w:val="99"/>
    <w:unhideWhenUsed/>
    <w:rsid w:val="002F2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DB"/>
  </w:style>
  <w:style w:type="paragraph" w:styleId="Footer">
    <w:name w:val="footer"/>
    <w:basedOn w:val="Normal"/>
    <w:link w:val="FooterChar"/>
    <w:uiPriority w:val="99"/>
    <w:unhideWhenUsed/>
    <w:rsid w:val="002F2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sccc.org/asccc-inclusion-diversity-equity-anti-racism-and-accessibility-ideaa-too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MariaDenise Aceves</dc:creator>
  <cp:keywords/>
  <dc:description/>
  <cp:lastModifiedBy>Julie Kahler</cp:lastModifiedBy>
  <cp:revision>4</cp:revision>
  <dcterms:created xsi:type="dcterms:W3CDTF">2025-02-07T20:52:00Z</dcterms:created>
  <dcterms:modified xsi:type="dcterms:W3CDTF">2025-06-11T00:24:00Z</dcterms:modified>
</cp:coreProperties>
</file>