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33BB1C0F"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68419E">
        <w:rPr>
          <w:rFonts w:ascii="Calibri" w:eastAsia="Calibri" w:hAnsi="Calibri" w:cs="Times New Roman"/>
          <w:b/>
          <w:bCs/>
        </w:rPr>
        <w:t>November 7</w:t>
      </w:r>
      <w:r w:rsidR="008F5D69">
        <w:rPr>
          <w:rFonts w:ascii="Calibri" w:eastAsia="Calibri" w:hAnsi="Calibri" w:cs="Times New Roman"/>
          <w:b/>
          <w:bCs/>
        </w:rPr>
        <w:t>, 2025</w:t>
      </w:r>
    </w:p>
    <w:p w14:paraId="1BE4B9D4" w14:textId="6A80CEB7"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3A0487">
        <w:rPr>
          <w:rFonts w:ascii="Calibri" w:eastAsia="Calibri" w:hAnsi="Calibri" w:cs="Times New Roman"/>
          <w:b/>
          <w:bCs/>
        </w:rPr>
        <w:t>1:00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4C0DA6CD" w14:textId="06812FE5" w:rsidR="0041781F" w:rsidRPr="0041781F" w:rsidRDefault="0041781F" w:rsidP="0041781F">
      <w:pPr>
        <w:pStyle w:val="p1"/>
        <w:jc w:val="center"/>
      </w:pPr>
      <w:r>
        <w:rPr>
          <w:rStyle w:val="s1"/>
        </w:rPr>
        <w:t xml:space="preserve">Zoom access: </w:t>
      </w:r>
      <w:r>
        <w:t>https://gcccd-edu.zoom.us/j/83352785640?pwd=41IcFi4gylB2wc2s6Wt2lKpYzjCaRf.1</w:t>
      </w:r>
    </w:p>
    <w:p w14:paraId="0A37501D" w14:textId="4A196216" w:rsidR="000204AC" w:rsidRPr="000204AC" w:rsidRDefault="000204AC" w:rsidP="004913C6">
      <w:pPr>
        <w:spacing w:after="0" w:line="276" w:lineRule="auto"/>
        <w:rPr>
          <w:rFonts w:ascii="Calibri" w:eastAsia="Calibri" w:hAnsi="Calibri" w:cs="Times New Roman"/>
          <w:b/>
          <w:bCs/>
        </w:rPr>
      </w:pPr>
    </w:p>
    <w:p w14:paraId="43B02160" w14:textId="31DF22C8"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68419E">
        <w:rPr>
          <w:rFonts w:ascii="Calibri" w:eastAsia="Calibri" w:hAnsi="Calibri" w:cs="Times New Roman"/>
          <w:b/>
          <w:bCs/>
          <w:color w:val="222222"/>
          <w:sz w:val="16"/>
          <w:szCs w:val="16"/>
          <w:shd w:val="clear" w:color="auto" w:fill="FFFFFF"/>
        </w:rPr>
        <w:t>November 7</w:t>
      </w:r>
      <w:r w:rsidR="003A0487">
        <w:rPr>
          <w:rFonts w:ascii="Calibri" w:eastAsia="Calibri" w:hAnsi="Calibri" w:cs="Times New Roman"/>
          <w:b/>
          <w:bCs/>
          <w:color w:val="222222"/>
          <w:sz w:val="16"/>
          <w:szCs w:val="16"/>
          <w:shd w:val="clear" w:color="auto" w:fill="FFFFFF"/>
        </w:rPr>
        <w:t>, 2025</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Bahnan</w:t>
      </w:r>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B865494" w:rsidR="00BB2E73"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Austin Brown</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694FE097" w:rsidR="0075670B"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Matthew Maningas</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7FC9AF9" w:rsidR="007E0F4C" w:rsidRPr="00575784" w:rsidRDefault="007C7050" w:rsidP="404657CD">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Cambria" w:eastAsia="Calibri" w:hAnsi="Cambria" w:cs="Times New Roman"/>
          <w:sz w:val="24"/>
          <w:szCs w:val="24"/>
        </w:rPr>
        <w:t>Junwoo</w:t>
      </w:r>
      <w:proofErr w:type="spellEnd"/>
      <w:r>
        <w:rPr>
          <w:rFonts w:ascii="Cambria" w:eastAsia="Calibri" w:hAnsi="Cambria" w:cs="Times New Roman"/>
          <w:sz w:val="24"/>
          <w:szCs w:val="24"/>
        </w:rPr>
        <w:t xml:space="preserve"> Kim</w:t>
      </w:r>
      <w:r w:rsidR="007E0F4C" w:rsidRPr="404657CD">
        <w:rPr>
          <w:rFonts w:ascii="Times New Roman" w:eastAsia="Times New Roman" w:hAnsi="Times New Roman" w:cs="Times New Roman"/>
          <w:sz w:val="24"/>
          <w:szCs w:val="24"/>
        </w:rPr>
        <w:t>, 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721CFD05"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Luke Hoffman,</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4DDC996E" w:rsidR="00DC7012" w:rsidRDefault="000D21FC"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Zainab Al </w:t>
      </w:r>
      <w:proofErr w:type="spellStart"/>
      <w:r>
        <w:rPr>
          <w:rFonts w:ascii="Times New Roman" w:eastAsia="Times New Roman" w:hAnsi="Times New Roman" w:cs="Times New Roman"/>
          <w:sz w:val="24"/>
          <w:szCs w:val="24"/>
        </w:rPr>
        <w:t>Tameemi</w:t>
      </w:r>
      <w:proofErr w:type="spellEnd"/>
      <w:r w:rsidR="6F53314A" w:rsidRPr="404657CD">
        <w:rPr>
          <w:rFonts w:ascii="Times New Roman" w:eastAsia="Times New Roman" w:hAnsi="Times New Roman" w:cs="Times New Roman"/>
          <w:sz w:val="24"/>
          <w:szCs w:val="24"/>
        </w:rPr>
        <w:t xml:space="preserve"> 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Pr="007C7B2C"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0EEC48D0" w14:textId="77777777" w:rsidR="00EC06A0" w:rsidRPr="00DD6958" w:rsidRDefault="00EC06A0" w:rsidP="00DD6958">
      <w:pPr>
        <w:spacing w:after="200" w:line="276" w:lineRule="auto"/>
        <w:ind w:firstLine="540"/>
        <w:contextualSpacing/>
        <w:rPr>
          <w:rFonts w:ascii="Cambria" w:eastAsia="Calibri" w:hAnsi="Cambria" w:cs="Times New Roman"/>
          <w:b/>
          <w:sz w:val="24"/>
          <w:szCs w:val="24"/>
        </w:rPr>
      </w:pP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7C7B2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2C0C9FE7" w14:textId="3164667A" w:rsidR="007C7B2C" w:rsidRPr="00E21AA1" w:rsidRDefault="007C7B2C" w:rsidP="007C7B2C">
      <w:pPr>
        <w:pStyle w:val="ListParagraph"/>
        <w:numPr>
          <w:ilvl w:val="3"/>
          <w:numId w:val="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Bri Hays, Senior Dean Institutional Effectiveness, Success &amp; Equity</w:t>
      </w:r>
    </w:p>
    <w:p w14:paraId="5CDB48B6" w14:textId="77777777" w:rsidR="00A959C9" w:rsidRPr="00A959C9" w:rsidRDefault="00A959C9" w:rsidP="00A959C9">
      <w:pPr>
        <w:pStyle w:val="ListParagraph"/>
        <w:spacing w:after="200" w:line="276" w:lineRule="auto"/>
        <w:ind w:left="1440"/>
        <w:rPr>
          <w:rFonts w:ascii="Cambria" w:eastAsia="Calibri" w:hAnsi="Cambria" w:cs="Times New Roman"/>
          <w:bCs/>
          <w:sz w:val="24"/>
          <w:szCs w:val="24"/>
        </w:rPr>
      </w:pPr>
    </w:p>
    <w:p w14:paraId="7A163AF6" w14:textId="6D7C5448"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3EFA0617" w14:textId="1337A199"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C7B2C">
        <w:rPr>
          <w:rFonts w:ascii="Cambria" w:eastAsia="Calibri" w:hAnsi="Cambria" w:cs="Times New Roman"/>
          <w:sz w:val="24"/>
          <w:szCs w:val="24"/>
        </w:rPr>
        <w:t>1</w:t>
      </w:r>
      <w:r>
        <w:rPr>
          <w:rFonts w:ascii="Cambria" w:eastAsia="Calibri" w:hAnsi="Cambria" w:cs="Times New Roman"/>
          <w:sz w:val="24"/>
          <w:szCs w:val="24"/>
        </w:rPr>
        <w:t>: Athletics Announcements</w:t>
      </w:r>
    </w:p>
    <w:p w14:paraId="60E7ADED" w14:textId="0AFA99E6"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7C7B2C">
        <w:rPr>
          <w:rFonts w:ascii="Cambria" w:eastAsia="Calibri" w:hAnsi="Cambria" w:cs="Times New Roman"/>
          <w:sz w:val="24"/>
          <w:szCs w:val="24"/>
        </w:rPr>
        <w:t>2</w:t>
      </w:r>
      <w:r>
        <w:rPr>
          <w:rFonts w:ascii="Cambria" w:eastAsia="Calibri" w:hAnsi="Cambria" w:cs="Times New Roman"/>
          <w:sz w:val="24"/>
          <w:szCs w:val="24"/>
        </w:rPr>
        <w:t>: Discussion: ASG Bylaws</w:t>
      </w:r>
    </w:p>
    <w:p w14:paraId="76E2EABF" w14:textId="77777777" w:rsidR="00625627" w:rsidRDefault="00625627" w:rsidP="00902CE9">
      <w:pPr>
        <w:spacing w:after="200" w:line="276" w:lineRule="auto"/>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452296">
    <w:abstractNumId w:val="30"/>
  </w:num>
  <w:num w:numId="2" w16cid:durableId="1740862870">
    <w:abstractNumId w:val="13"/>
  </w:num>
  <w:num w:numId="3" w16cid:durableId="530726406">
    <w:abstractNumId w:val="19"/>
  </w:num>
  <w:num w:numId="4" w16cid:durableId="544488478">
    <w:abstractNumId w:val="12"/>
  </w:num>
  <w:num w:numId="5" w16cid:durableId="1615476747">
    <w:abstractNumId w:val="21"/>
  </w:num>
  <w:num w:numId="6" w16cid:durableId="591741754">
    <w:abstractNumId w:val="22"/>
  </w:num>
  <w:num w:numId="7" w16cid:durableId="15548618">
    <w:abstractNumId w:val="17"/>
  </w:num>
  <w:num w:numId="8" w16cid:durableId="2131362054">
    <w:abstractNumId w:val="29"/>
  </w:num>
  <w:num w:numId="9" w16cid:durableId="732193547">
    <w:abstractNumId w:val="11"/>
  </w:num>
  <w:num w:numId="10" w16cid:durableId="1344554806">
    <w:abstractNumId w:val="9"/>
  </w:num>
  <w:num w:numId="11" w16cid:durableId="268781621">
    <w:abstractNumId w:val="33"/>
  </w:num>
  <w:num w:numId="12" w16cid:durableId="218904789">
    <w:abstractNumId w:val="15"/>
  </w:num>
  <w:num w:numId="13" w16cid:durableId="1388650207">
    <w:abstractNumId w:val="31"/>
  </w:num>
  <w:num w:numId="14" w16cid:durableId="1805738106">
    <w:abstractNumId w:val="4"/>
  </w:num>
  <w:num w:numId="15" w16cid:durableId="828639740">
    <w:abstractNumId w:val="0"/>
  </w:num>
  <w:num w:numId="16" w16cid:durableId="1467360101">
    <w:abstractNumId w:val="7"/>
  </w:num>
  <w:num w:numId="17" w16cid:durableId="1545868831">
    <w:abstractNumId w:val="6"/>
  </w:num>
  <w:num w:numId="18" w16cid:durableId="1946451080">
    <w:abstractNumId w:val="26"/>
  </w:num>
  <w:num w:numId="19" w16cid:durableId="107283487">
    <w:abstractNumId w:val="1"/>
  </w:num>
  <w:num w:numId="20" w16cid:durableId="1700357548">
    <w:abstractNumId w:val="35"/>
  </w:num>
  <w:num w:numId="21" w16cid:durableId="524249503">
    <w:abstractNumId w:val="32"/>
  </w:num>
  <w:num w:numId="22" w16cid:durableId="1809012778">
    <w:abstractNumId w:val="23"/>
  </w:num>
  <w:num w:numId="23" w16cid:durableId="722943654">
    <w:abstractNumId w:val="5"/>
  </w:num>
  <w:num w:numId="24" w16cid:durableId="582757676">
    <w:abstractNumId w:val="16"/>
  </w:num>
  <w:num w:numId="25" w16cid:durableId="1117093522">
    <w:abstractNumId w:val="36"/>
  </w:num>
  <w:num w:numId="26" w16cid:durableId="2123845142">
    <w:abstractNumId w:val="34"/>
  </w:num>
  <w:num w:numId="27" w16cid:durableId="1062486312">
    <w:abstractNumId w:val="20"/>
  </w:num>
  <w:num w:numId="28" w16cid:durableId="1985355868">
    <w:abstractNumId w:val="18"/>
  </w:num>
  <w:num w:numId="29" w16cid:durableId="342980990">
    <w:abstractNumId w:val="2"/>
  </w:num>
  <w:num w:numId="30" w16cid:durableId="1467895229">
    <w:abstractNumId w:val="3"/>
  </w:num>
  <w:num w:numId="31" w16cid:durableId="1611619469">
    <w:abstractNumId w:val="27"/>
  </w:num>
  <w:num w:numId="32" w16cid:durableId="1430001129">
    <w:abstractNumId w:val="10"/>
  </w:num>
  <w:num w:numId="33" w16cid:durableId="1636792443">
    <w:abstractNumId w:val="24"/>
  </w:num>
  <w:num w:numId="34" w16cid:durableId="1417240230">
    <w:abstractNumId w:val="25"/>
  </w:num>
  <w:num w:numId="35" w16cid:durableId="1415009904">
    <w:abstractNumId w:val="14"/>
  </w:num>
  <w:num w:numId="36" w16cid:durableId="1502623671">
    <w:abstractNumId w:val="8"/>
  </w:num>
  <w:num w:numId="37" w16cid:durableId="1573617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4120B"/>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B3CDB"/>
    <w:rsid w:val="000B52DD"/>
    <w:rsid w:val="000B64F2"/>
    <w:rsid w:val="000D21FC"/>
    <w:rsid w:val="000D2C16"/>
    <w:rsid w:val="000E160C"/>
    <w:rsid w:val="000E3ED9"/>
    <w:rsid w:val="000E68DB"/>
    <w:rsid w:val="000F0C93"/>
    <w:rsid w:val="000F2ECD"/>
    <w:rsid w:val="000F40EF"/>
    <w:rsid w:val="000F5CC3"/>
    <w:rsid w:val="00101D79"/>
    <w:rsid w:val="0011557C"/>
    <w:rsid w:val="00117505"/>
    <w:rsid w:val="00122AF3"/>
    <w:rsid w:val="00123E46"/>
    <w:rsid w:val="00135CE1"/>
    <w:rsid w:val="001575F8"/>
    <w:rsid w:val="001613FB"/>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D089F"/>
    <w:rsid w:val="002D320F"/>
    <w:rsid w:val="002D3BB2"/>
    <w:rsid w:val="002D7C55"/>
    <w:rsid w:val="002E05BB"/>
    <w:rsid w:val="002F6355"/>
    <w:rsid w:val="00305701"/>
    <w:rsid w:val="003063B4"/>
    <w:rsid w:val="003078D6"/>
    <w:rsid w:val="00313552"/>
    <w:rsid w:val="00320655"/>
    <w:rsid w:val="003335D3"/>
    <w:rsid w:val="0033643E"/>
    <w:rsid w:val="003435F4"/>
    <w:rsid w:val="00343C00"/>
    <w:rsid w:val="00343CBA"/>
    <w:rsid w:val="003503CE"/>
    <w:rsid w:val="00350DAA"/>
    <w:rsid w:val="00351BA8"/>
    <w:rsid w:val="003544B5"/>
    <w:rsid w:val="00360786"/>
    <w:rsid w:val="00362BE0"/>
    <w:rsid w:val="00363783"/>
    <w:rsid w:val="0037239E"/>
    <w:rsid w:val="00372F81"/>
    <w:rsid w:val="00373ADC"/>
    <w:rsid w:val="00375A7F"/>
    <w:rsid w:val="003853AF"/>
    <w:rsid w:val="00387CE8"/>
    <w:rsid w:val="00391F2D"/>
    <w:rsid w:val="003939D1"/>
    <w:rsid w:val="003A0487"/>
    <w:rsid w:val="003A1441"/>
    <w:rsid w:val="003A1ECB"/>
    <w:rsid w:val="003A52E7"/>
    <w:rsid w:val="003A5AC4"/>
    <w:rsid w:val="003B045D"/>
    <w:rsid w:val="003B2A24"/>
    <w:rsid w:val="003B3069"/>
    <w:rsid w:val="003B37CD"/>
    <w:rsid w:val="003B4388"/>
    <w:rsid w:val="003D31FD"/>
    <w:rsid w:val="003D68ED"/>
    <w:rsid w:val="00401F2D"/>
    <w:rsid w:val="00411304"/>
    <w:rsid w:val="0041781F"/>
    <w:rsid w:val="0044317D"/>
    <w:rsid w:val="004446B8"/>
    <w:rsid w:val="00452EFA"/>
    <w:rsid w:val="00470FDC"/>
    <w:rsid w:val="004750F2"/>
    <w:rsid w:val="004844EE"/>
    <w:rsid w:val="00486769"/>
    <w:rsid w:val="00487691"/>
    <w:rsid w:val="004913C6"/>
    <w:rsid w:val="004A0689"/>
    <w:rsid w:val="004B01A0"/>
    <w:rsid w:val="004B11F2"/>
    <w:rsid w:val="004B43FD"/>
    <w:rsid w:val="004B5088"/>
    <w:rsid w:val="004B6E6F"/>
    <w:rsid w:val="004B7356"/>
    <w:rsid w:val="004C333F"/>
    <w:rsid w:val="004C33A1"/>
    <w:rsid w:val="004C5024"/>
    <w:rsid w:val="004C65CA"/>
    <w:rsid w:val="004D2CD0"/>
    <w:rsid w:val="004D5114"/>
    <w:rsid w:val="004D7C43"/>
    <w:rsid w:val="004D7E3A"/>
    <w:rsid w:val="004E6398"/>
    <w:rsid w:val="004F7066"/>
    <w:rsid w:val="0050505E"/>
    <w:rsid w:val="00506987"/>
    <w:rsid w:val="00516058"/>
    <w:rsid w:val="0052157C"/>
    <w:rsid w:val="0052286A"/>
    <w:rsid w:val="00526AF9"/>
    <w:rsid w:val="0054189A"/>
    <w:rsid w:val="00543534"/>
    <w:rsid w:val="005443BB"/>
    <w:rsid w:val="005460E3"/>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670B"/>
    <w:rsid w:val="00770802"/>
    <w:rsid w:val="00774D9A"/>
    <w:rsid w:val="007800A3"/>
    <w:rsid w:val="00781ECE"/>
    <w:rsid w:val="00784AAD"/>
    <w:rsid w:val="00790465"/>
    <w:rsid w:val="0079751B"/>
    <w:rsid w:val="007A12E9"/>
    <w:rsid w:val="007B50F7"/>
    <w:rsid w:val="007C1B21"/>
    <w:rsid w:val="007C7050"/>
    <w:rsid w:val="007C7B2C"/>
    <w:rsid w:val="007D0AE5"/>
    <w:rsid w:val="007D2057"/>
    <w:rsid w:val="007E070A"/>
    <w:rsid w:val="007E0F4C"/>
    <w:rsid w:val="007E11B6"/>
    <w:rsid w:val="007E1BB6"/>
    <w:rsid w:val="007E657C"/>
    <w:rsid w:val="007F6261"/>
    <w:rsid w:val="00803300"/>
    <w:rsid w:val="00806001"/>
    <w:rsid w:val="0081023A"/>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3851"/>
    <w:rsid w:val="00A959C9"/>
    <w:rsid w:val="00A97C69"/>
    <w:rsid w:val="00AA3FD7"/>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C03985"/>
    <w:rsid w:val="00C045CB"/>
    <w:rsid w:val="00C04654"/>
    <w:rsid w:val="00C06DDD"/>
    <w:rsid w:val="00C16448"/>
    <w:rsid w:val="00C33720"/>
    <w:rsid w:val="00C34A34"/>
    <w:rsid w:val="00C37936"/>
    <w:rsid w:val="00C37D7C"/>
    <w:rsid w:val="00C43EE0"/>
    <w:rsid w:val="00C44C4A"/>
    <w:rsid w:val="00C47016"/>
    <w:rsid w:val="00C53ECC"/>
    <w:rsid w:val="00C57167"/>
    <w:rsid w:val="00C6026E"/>
    <w:rsid w:val="00C61D60"/>
    <w:rsid w:val="00C631E7"/>
    <w:rsid w:val="00C64C60"/>
    <w:rsid w:val="00C7055A"/>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4CB9"/>
    <w:rsid w:val="00DF6E32"/>
    <w:rsid w:val="00E02EBA"/>
    <w:rsid w:val="00E033EA"/>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4</cp:revision>
  <dcterms:created xsi:type="dcterms:W3CDTF">2025-11-03T19:10:00Z</dcterms:created>
  <dcterms:modified xsi:type="dcterms:W3CDTF">2025-11-03T22:35:00Z</dcterms:modified>
</cp:coreProperties>
</file>